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CB04C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to acquire the final phases of affordable housing at the Barton Park development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F65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June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</w:t>
            </w:r>
            <w:r>
              <w:rPr>
                <w:rFonts w:ascii="Arial" w:hAnsi="Arial" w:cs="Arial"/>
              </w:rPr>
              <w:lastRenderedPageBreak/>
              <w:t xml:space="preserve">delegation under the Council’s Constitution? </w:t>
            </w:r>
          </w:p>
        </w:tc>
        <w:tc>
          <w:tcPr>
            <w:tcW w:w="4962" w:type="dxa"/>
          </w:tcPr>
          <w:p w:rsidR="00F65B8E" w:rsidRPr="00F65B8E" w:rsidRDefault="00F65B8E" w:rsidP="00F6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City Executive Board (now Cabinet) on 10 July 2013 delegated authority to the </w:t>
            </w:r>
            <w:r w:rsidRPr="00F65B8E">
              <w:rPr>
                <w:rFonts w:ascii="Arial" w:hAnsi="Arial" w:cs="Arial"/>
              </w:rPr>
              <w:lastRenderedPageBreak/>
              <w:t>Executive Director, City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Regeneration and Housing</w:t>
            </w:r>
            <w:r>
              <w:rPr>
                <w:rFonts w:ascii="Arial" w:hAnsi="Arial" w:cs="Arial"/>
              </w:rPr>
              <w:t>,</w:t>
            </w:r>
            <w:r w:rsidRPr="00F65B8E">
              <w:rPr>
                <w:rFonts w:ascii="Arial" w:hAnsi="Arial" w:cs="Arial"/>
              </w:rPr>
              <w:t xml:space="preserve"> in consultation with the Head of</w:t>
            </w:r>
          </w:p>
          <w:p w:rsidR="00F65B8E" w:rsidRDefault="00F65B8E" w:rsidP="00F65B8E">
            <w:pPr>
              <w:rPr>
                <w:rFonts w:ascii="Arial" w:hAnsi="Arial" w:cs="Arial"/>
              </w:rPr>
            </w:pPr>
            <w:r w:rsidRPr="00F65B8E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>,</w:t>
            </w:r>
            <w:r w:rsidRPr="00F65B8E">
              <w:rPr>
                <w:rFonts w:ascii="Arial" w:hAnsi="Arial" w:cs="Arial"/>
              </w:rPr>
              <w:t xml:space="preserve"> to authorise the Council’s entry into required legal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documentation with Barton Oxford LLP to give effect to this matter,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the terms to be consistent with the contents of the Not For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Publication Appendix in relation to:-</w:t>
            </w:r>
          </w:p>
          <w:p w:rsidR="00F65B8E" w:rsidRDefault="00F65B8E" w:rsidP="00F65B8E">
            <w:pPr>
              <w:rPr>
                <w:rFonts w:ascii="Arial" w:hAnsi="Arial" w:cs="Arial"/>
              </w:rPr>
            </w:pPr>
          </w:p>
          <w:p w:rsidR="00F65B8E" w:rsidRPr="00F65B8E" w:rsidRDefault="00F65B8E" w:rsidP="00F6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65B8E">
              <w:rPr>
                <w:rFonts w:ascii="Arial" w:hAnsi="Arial" w:cs="Arial"/>
              </w:rPr>
              <w:t>a) Approval to enter into an Agreement to purchase the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affordable housing (354 units approximately) noting the</w:t>
            </w:r>
            <w:r>
              <w:rPr>
                <w:rFonts w:ascii="Arial" w:hAnsi="Arial" w:cs="Arial"/>
              </w:rPr>
              <w:t xml:space="preserve"> </w:t>
            </w:r>
            <w:r w:rsidRPr="00F65B8E">
              <w:rPr>
                <w:rFonts w:ascii="Arial" w:hAnsi="Arial" w:cs="Arial"/>
              </w:rPr>
              <w:t>intention that the Agreement be novated to the successful /</w:t>
            </w:r>
          </w:p>
          <w:p w:rsidR="004A049B" w:rsidRDefault="00F65B8E" w:rsidP="00F65B8E">
            <w:pPr>
              <w:rPr>
                <w:rFonts w:ascii="Arial" w:hAnsi="Arial" w:cs="Arial"/>
              </w:rPr>
            </w:pPr>
            <w:r w:rsidRPr="00F65B8E">
              <w:rPr>
                <w:rFonts w:ascii="Arial" w:hAnsi="Arial" w:cs="Arial"/>
              </w:rPr>
              <w:t>nominated house builders for each phase of development;</w:t>
            </w:r>
          </w:p>
          <w:p w:rsidR="00F65B8E" w:rsidRDefault="00F65B8E" w:rsidP="00F6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65B8E" w:rsidRDefault="00F65B8E" w:rsidP="00F65B8E">
            <w:pPr>
              <w:rPr>
                <w:rFonts w:ascii="Arial" w:hAnsi="Arial" w:cs="Arial"/>
              </w:rPr>
            </w:pPr>
          </w:p>
          <w:p w:rsidR="00F65B8E" w:rsidRPr="00E20A54" w:rsidRDefault="00F65B8E" w:rsidP="00F6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Housing has subsequently been authorised to take this decision.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F65B8E" w:rsidP="00085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enter an agreement to acquire the affordable (social rented) housing</w:t>
            </w:r>
            <w:r w:rsidR="000850BC">
              <w:rPr>
                <w:rFonts w:ascii="Arial" w:hAnsi="Arial" w:cs="Arial"/>
              </w:rPr>
              <w:t xml:space="preserve"> (c. 176 homes)</w:t>
            </w:r>
            <w:r w:rsidR="00611543">
              <w:rPr>
                <w:rFonts w:ascii="Arial" w:hAnsi="Arial" w:cs="Arial"/>
              </w:rPr>
              <w:t xml:space="preserve"> </w:t>
            </w:r>
            <w:r w:rsidR="000850BC">
              <w:rPr>
                <w:rFonts w:ascii="Arial" w:hAnsi="Arial" w:cs="Arial"/>
              </w:rPr>
              <w:t>on the final two phases of</w:t>
            </w:r>
            <w:r w:rsidR="00611543">
              <w:rPr>
                <w:rFonts w:ascii="Arial" w:hAnsi="Arial" w:cs="Arial"/>
              </w:rPr>
              <w:t xml:space="preserve"> Barton Park development as part of the Council housing and housing company strategy and business plans. 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D95E16" w:rsidP="00611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365AE4">
              <w:rPr>
                <w:rFonts w:ascii="Arial" w:hAnsi="Arial" w:cs="Arial"/>
              </w:rPr>
              <w:t xml:space="preserve"> of</w:t>
            </w:r>
            <w:r w:rsidR="00611543">
              <w:rPr>
                <w:rFonts w:ascii="Arial" w:hAnsi="Arial" w:cs="Arial"/>
              </w:rPr>
              <w:t xml:space="preserve"> Council</w:t>
            </w:r>
            <w:r w:rsidR="00365AE4">
              <w:rPr>
                <w:rFonts w:ascii="Arial" w:hAnsi="Arial" w:cs="Arial"/>
              </w:rPr>
              <w:t xml:space="preserve"> housing</w:t>
            </w:r>
            <w:r>
              <w:rPr>
                <w:rFonts w:ascii="Arial" w:hAnsi="Arial" w:cs="Arial"/>
              </w:rPr>
              <w:t xml:space="preserve"> (social rent)</w:t>
            </w:r>
            <w:r w:rsidR="00611543">
              <w:rPr>
                <w:rFonts w:ascii="Arial" w:hAnsi="Arial" w:cs="Arial"/>
              </w:rPr>
              <w:t xml:space="preserve">. It is intended that the ownership of the homes will be transferred to Oxford City Housing which will be subject to subsequent decision. 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D95E16" w:rsidP="002B7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Continuation of </w:t>
            </w:r>
            <w:r w:rsidR="002B79E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existing</w:t>
            </w:r>
            <w:r w:rsidR="002B79E9">
              <w:rPr>
                <w:rFonts w:ascii="Arial" w:hAnsi="Arial" w:cs="Arial"/>
              </w:rPr>
              <w:t xml:space="preserve"> C</w:t>
            </w:r>
            <w:r w:rsidR="00611543">
              <w:rPr>
                <w:rFonts w:ascii="Arial" w:hAnsi="Arial" w:cs="Arial"/>
              </w:rPr>
              <w:t>ouncil housing</w:t>
            </w:r>
            <w:r>
              <w:rPr>
                <w:rFonts w:ascii="Arial" w:hAnsi="Arial" w:cs="Arial"/>
              </w:rPr>
              <w:t xml:space="preserve"> strategy </w:t>
            </w:r>
            <w:r w:rsidR="002B79E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Barton Park </w:t>
            </w:r>
            <w:r w:rsidR="00611543">
              <w:rPr>
                <w:rFonts w:ascii="Arial" w:hAnsi="Arial" w:cs="Arial"/>
                <w:lang w:eastAsia="en-US"/>
              </w:rPr>
              <w:t>as set out in the reports to the City Executive Board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F65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Leo, Director of Housing</w:t>
            </w:r>
          </w:p>
          <w:p w:rsidR="00F65B8E" w:rsidRDefault="00F65B8E" w:rsidP="008A22C6">
            <w:pPr>
              <w:rPr>
                <w:rFonts w:ascii="Arial" w:hAnsi="Arial" w:cs="Arial"/>
              </w:rPr>
            </w:pPr>
          </w:p>
          <w:p w:rsidR="00F65B8E" w:rsidRPr="00A96C08" w:rsidRDefault="00F65B8E" w:rsidP="00CB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Decision taken in consultation with </w:t>
            </w:r>
            <w:r w:rsidR="00CB04CF">
              <w:rPr>
                <w:rFonts w:ascii="Arial" w:hAnsi="Arial" w:cs="Arial"/>
              </w:rPr>
              <w:t xml:space="preserve">Councillor Alex Hollingsworth, Cabinet Member for Planning and Housing Delivery, Councillor Diko Blackings, Cabinet Member for Affordable Housing, and Nigel Kennedy, </w:t>
            </w:r>
            <w:r>
              <w:rPr>
                <w:rFonts w:ascii="Arial" w:hAnsi="Arial" w:cs="Arial"/>
              </w:rPr>
              <w:t>Head of Financial Services.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D95E16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Default="00CB04CF" w:rsidP="00CB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Barton – acquisition of affordable housing, report to t</w:t>
            </w:r>
            <w:r w:rsidRPr="00CB04CF">
              <w:rPr>
                <w:rFonts w:ascii="Arial" w:hAnsi="Arial" w:cs="Arial"/>
              </w:rPr>
              <w:t>he City Executive Board on 10 July 2013</w:t>
            </w:r>
            <w:r>
              <w:rPr>
                <w:rFonts w:ascii="Arial" w:hAnsi="Arial" w:cs="Arial"/>
              </w:rPr>
              <w:t>.</w:t>
            </w:r>
          </w:p>
          <w:p w:rsidR="00CB04CF" w:rsidRDefault="00CB04CF" w:rsidP="00CB04CF">
            <w:pPr>
              <w:rPr>
                <w:rFonts w:ascii="Arial" w:hAnsi="Arial" w:cs="Arial"/>
              </w:rPr>
            </w:pPr>
          </w:p>
          <w:p w:rsidR="00CB04CF" w:rsidRDefault="00CB04CF" w:rsidP="00CB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housing company for Oxford, report to the City Executive Board on 17 March 2016</w:t>
            </w:r>
          </w:p>
          <w:p w:rsidR="00CB04CF" w:rsidRDefault="00CB04CF" w:rsidP="00CB04CF">
            <w:pPr>
              <w:rPr>
                <w:rFonts w:ascii="Arial" w:hAnsi="Arial" w:cs="Arial"/>
              </w:rPr>
            </w:pPr>
          </w:p>
          <w:p w:rsidR="00CB04CF" w:rsidRPr="00A96C08" w:rsidRDefault="00CB04CF" w:rsidP="00CB04CF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F65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(value &gt;£500k)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365AE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Barton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213B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365AE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McKay, Development Manager</w:t>
            </w:r>
          </w:p>
          <w:p w:rsidR="00365AE4" w:rsidRPr="00A96C08" w:rsidRDefault="00365AE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DF126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Leo, Executive Director of Housing</w:t>
            </w:r>
          </w:p>
        </w:tc>
        <w:tc>
          <w:tcPr>
            <w:tcW w:w="1984" w:type="dxa"/>
            <w:vAlign w:val="center"/>
          </w:tcPr>
          <w:p w:rsidR="00DD4885" w:rsidRPr="00A96C08" w:rsidRDefault="00DF126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F126C" w:rsidP="00DF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Kennedy, Head of Financial Services </w:t>
            </w:r>
          </w:p>
        </w:tc>
        <w:tc>
          <w:tcPr>
            <w:tcW w:w="1984" w:type="dxa"/>
            <w:vAlign w:val="center"/>
          </w:tcPr>
          <w:p w:rsidR="00DD4885" w:rsidRPr="00A96C08" w:rsidRDefault="00DF126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09/06/2021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92BDB" w:rsidRDefault="00D92BDB" w:rsidP="00DD4885">
            <w:pPr>
              <w:rPr>
                <w:rFonts w:ascii="Arial" w:hAnsi="Arial" w:cs="Arial"/>
              </w:rPr>
            </w:pPr>
            <w:r w:rsidRPr="00D92BDB">
              <w:rPr>
                <w:rFonts w:ascii="Arial" w:hAnsi="Arial" w:cs="Arial"/>
              </w:rPr>
              <w:t>Councillor Diko Blackings, Cabinet Member for Affordable Housing</w:t>
            </w:r>
          </w:p>
          <w:p w:rsidR="00D92BDB" w:rsidRDefault="00D92BDB" w:rsidP="00DD4885">
            <w:pPr>
              <w:rPr>
                <w:rFonts w:ascii="Arial" w:hAnsi="Arial" w:cs="Arial"/>
              </w:rPr>
            </w:pPr>
          </w:p>
          <w:p w:rsidR="00DD4885" w:rsidRPr="00A96C08" w:rsidRDefault="00D92BDB" w:rsidP="00DD4885">
            <w:pPr>
              <w:rPr>
                <w:rFonts w:ascii="Arial" w:hAnsi="Arial" w:cs="Arial"/>
              </w:rPr>
            </w:pPr>
            <w:r w:rsidRPr="00D92BDB">
              <w:rPr>
                <w:rFonts w:ascii="Arial" w:hAnsi="Arial" w:cs="Arial"/>
              </w:rPr>
              <w:t xml:space="preserve">Councillor Alex Hollingsworth, Cabinet Member for Planning and Housing Delivery, </w:t>
            </w:r>
          </w:p>
        </w:tc>
        <w:tc>
          <w:tcPr>
            <w:tcW w:w="1984" w:type="dxa"/>
            <w:vAlign w:val="center"/>
          </w:tcPr>
          <w:p w:rsidR="00DD4885" w:rsidRPr="00A96C08" w:rsidRDefault="00D92BD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10/06/2021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  <w:bookmarkStart w:id="0" w:name="_GoBack"/>
      <w:bookmarkEnd w:id="0"/>
    </w:p>
    <w:sectPr w:rsidR="008E4629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0BC"/>
    <w:rsid w:val="000B4310"/>
    <w:rsid w:val="000F4239"/>
    <w:rsid w:val="00213B06"/>
    <w:rsid w:val="00231385"/>
    <w:rsid w:val="002611EB"/>
    <w:rsid w:val="00263039"/>
    <w:rsid w:val="002A07C9"/>
    <w:rsid w:val="002B53D4"/>
    <w:rsid w:val="002B79E9"/>
    <w:rsid w:val="002E61DD"/>
    <w:rsid w:val="00335A9B"/>
    <w:rsid w:val="003505E0"/>
    <w:rsid w:val="003547CD"/>
    <w:rsid w:val="00365AE4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11543"/>
    <w:rsid w:val="00616F3F"/>
    <w:rsid w:val="006247C4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86C99"/>
    <w:rsid w:val="009F048F"/>
    <w:rsid w:val="009F6401"/>
    <w:rsid w:val="00A12928"/>
    <w:rsid w:val="00A96C08"/>
    <w:rsid w:val="00AC52A1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04CF"/>
    <w:rsid w:val="00CB5E4F"/>
    <w:rsid w:val="00CD4BC9"/>
    <w:rsid w:val="00CE6085"/>
    <w:rsid w:val="00D33F83"/>
    <w:rsid w:val="00D543D9"/>
    <w:rsid w:val="00D92BDB"/>
    <w:rsid w:val="00D95E16"/>
    <w:rsid w:val="00DB01D4"/>
    <w:rsid w:val="00DC2E8D"/>
    <w:rsid w:val="00DD1A34"/>
    <w:rsid w:val="00DD4885"/>
    <w:rsid w:val="00DD51B2"/>
    <w:rsid w:val="00DF126C"/>
    <w:rsid w:val="00E127E3"/>
    <w:rsid w:val="00E20A54"/>
    <w:rsid w:val="00E270E5"/>
    <w:rsid w:val="00E97F84"/>
    <w:rsid w:val="00F11FD1"/>
    <w:rsid w:val="00F64579"/>
    <w:rsid w:val="00F65B8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7EAE-DBA7-45FE-989D-FC97B6BF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FF1E8DF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BROWN Andrew J</cp:lastModifiedBy>
  <cp:revision>2</cp:revision>
  <cp:lastPrinted>2015-07-27T09:35:00Z</cp:lastPrinted>
  <dcterms:created xsi:type="dcterms:W3CDTF">2021-06-11T08:42:00Z</dcterms:created>
  <dcterms:modified xsi:type="dcterms:W3CDTF">2021-06-11T08:42:00Z</dcterms:modified>
</cp:coreProperties>
</file>